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86C68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 w:rsidRPr="00C665A0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386C68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  <w:r w:rsidR="00386C68" w:rsidRPr="00386C6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متابعة</w:t>
                            </w:r>
                            <w:r w:rsidR="00386C68" w:rsidRPr="00386C6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86C68" w:rsidRPr="00386C6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تنفيذ</w:t>
                            </w:r>
                            <w:r w:rsidR="00386C68" w:rsidRPr="00386C6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86C68" w:rsidRPr="00386C6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المعايير</w:t>
                            </w:r>
                            <w:r w:rsidR="00386C68" w:rsidRPr="00386C68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386C68" w:rsidRPr="00386C68">
                              <w:rPr>
                                <w:rFonts w:cs="Arial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rtl/>
                              </w:rPr>
                              <w:t>والخطط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86C68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 w:rsidRPr="00C665A0">
                        <w:rPr>
                          <w:rFonts w:hint="cs"/>
                          <w:rtl/>
                        </w:rPr>
                        <w:t xml:space="preserve"> </w:t>
                      </w:r>
                      <w:r w:rsidR="00386C68">
                        <w:rPr>
                          <w:rFonts w:hint="cs"/>
                          <w:rtl/>
                        </w:rPr>
                        <w:t xml:space="preserve">  </w:t>
                      </w:r>
                      <w:r w:rsidR="00386C68" w:rsidRPr="00386C6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متابعة</w:t>
                      </w:r>
                      <w:r w:rsidR="00386C68" w:rsidRPr="00386C6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86C68" w:rsidRPr="00386C6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تنفيذ</w:t>
                      </w:r>
                      <w:r w:rsidR="00386C68" w:rsidRPr="00386C6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86C68" w:rsidRPr="00386C6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المعايير</w:t>
                      </w:r>
                      <w:r w:rsidR="00386C68" w:rsidRPr="00386C68">
                        <w:rPr>
                          <w:rFonts w:cs="Arial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386C68" w:rsidRPr="00386C68">
                        <w:rPr>
                          <w:rFonts w:cs="Arial" w:hint="cs"/>
                          <w:b/>
                          <w:bCs/>
                          <w:color w:val="FF0000"/>
                          <w:sz w:val="32"/>
                          <w:szCs w:val="32"/>
                          <w:rtl/>
                        </w:rPr>
                        <w:t>والخطط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665A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665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بابل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665A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665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بابل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86C6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القطاع:</w:t>
                            </w:r>
                            <w:r w:rsidR="00386C6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دائرة الماء </w:t>
                            </w:r>
                            <w:r w:rsidR="001657B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5A362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86C68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386C6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دائرة الماء </w:t>
                      </w:r>
                      <w:r w:rsidR="001657B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5A362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934DDE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85761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34DDE" w:rsidRPr="00934DDE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متابعة</w:t>
                            </w:r>
                            <w:r w:rsidR="00934DDE" w:rsidRPr="00934DDE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34DDE" w:rsidRPr="00934DDE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تنفيذ</w:t>
                            </w:r>
                            <w:r w:rsidR="00934DDE" w:rsidRPr="00934DDE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34DDE" w:rsidRPr="00934DDE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المعايير</w:t>
                            </w:r>
                            <w:r w:rsidR="00934DDE" w:rsidRPr="00934DDE">
                              <w:rPr>
                                <w:rFonts w:cs="Arial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934DDE" w:rsidRPr="00934DDE">
                              <w:rPr>
                                <w:rFonts w:cs="Arial"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والخطط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934DDE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85761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34DDE" w:rsidRPr="00934DDE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متابعة</w:t>
                      </w:r>
                      <w:r w:rsidR="00934DDE" w:rsidRPr="00934DDE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34DDE" w:rsidRPr="00934DDE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تنفيذ</w:t>
                      </w:r>
                      <w:r w:rsidR="00934DDE" w:rsidRPr="00934DDE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34DDE" w:rsidRPr="00934DDE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المعايير</w:t>
                      </w:r>
                      <w:r w:rsidR="00934DDE" w:rsidRPr="00934DDE">
                        <w:rPr>
                          <w:rFonts w:cs="Arial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934DDE" w:rsidRPr="00934DDE">
                        <w:rPr>
                          <w:rFonts w:cs="Arial"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والخطط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250"/>
        <w:gridCol w:w="1170"/>
      </w:tblGrid>
      <w:tr w:rsidR="00E97B4D" w:rsidTr="00A85984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250" w:type="dxa"/>
          </w:tcPr>
          <w:p w:rsidR="00E97B4D" w:rsidRDefault="004F553F" w:rsidP="004D4CD0">
            <w:pPr>
              <w:bidi/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170" w:type="dxa"/>
          </w:tcPr>
          <w:p w:rsidR="00E97B4D" w:rsidRDefault="00E97B4D" w:rsidP="00050051">
            <w:pPr>
              <w:jc w:val="center"/>
            </w:pPr>
          </w:p>
        </w:tc>
      </w:tr>
      <w:tr w:rsidR="00E97B4D" w:rsidTr="00A85984"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250" w:type="dxa"/>
          </w:tcPr>
          <w:p w:rsidR="004D4CD0" w:rsidRPr="00A85984" w:rsidRDefault="004D4CD0" w:rsidP="00A85984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1-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حصر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المعايير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القياسية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الخاصة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بخدمة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الماء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والمتعلقة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بالانتاج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,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العجزو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التغطية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التخطيط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المتابعة</w:t>
            </w:r>
            <w:r w:rsidRPr="00A85984">
              <w:rPr>
                <w:b/>
                <w:bCs/>
                <w:sz w:val="28"/>
                <w:szCs w:val="28"/>
              </w:rPr>
              <w:t xml:space="preserve"> .</w:t>
            </w:r>
          </w:p>
          <w:p w:rsidR="004D4CD0" w:rsidRPr="00A85984" w:rsidRDefault="004D4CD0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2-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جمع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المعلومات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عن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واقع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حال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الخدمة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خلال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فترة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زمنية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محددة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وتحديد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المؤشرات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التخطيط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المتابعة</w:t>
            </w:r>
            <w:r w:rsidRPr="00A85984">
              <w:rPr>
                <w:b/>
                <w:bCs/>
                <w:sz w:val="28"/>
                <w:szCs w:val="28"/>
              </w:rPr>
              <w:t>.</w:t>
            </w:r>
          </w:p>
          <w:p w:rsidR="004D4CD0" w:rsidRPr="00A85984" w:rsidRDefault="004D4CD0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3-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تحليل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وقراءة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الفجوات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بالمقارنة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مع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المعيار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القياسي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التخطيط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المتابعة</w:t>
            </w:r>
            <w:r w:rsidRPr="00A85984">
              <w:rPr>
                <w:b/>
                <w:bCs/>
                <w:sz w:val="28"/>
                <w:szCs w:val="28"/>
              </w:rPr>
              <w:t>.</w:t>
            </w:r>
          </w:p>
          <w:p w:rsidR="004D4CD0" w:rsidRPr="00A85984" w:rsidRDefault="004D4CD0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4-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يتم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تحديد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الالوية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للعناصر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المؤثرة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احداث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الفجوة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خلال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قوة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تاثيرها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مالية</w:t>
            </w:r>
            <w:r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,</w:t>
            </w:r>
            <w:r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تجهيزات</w:t>
            </w:r>
            <w:r w:rsidRPr="00A85984">
              <w:rPr>
                <w:b/>
                <w:bCs/>
                <w:sz w:val="28"/>
                <w:szCs w:val="28"/>
              </w:rPr>
              <w:t xml:space="preserve"> 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5-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تحديد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نوعية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الحلول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انية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طويلة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الامد</w:t>
            </w:r>
            <w:r w:rsidR="004D4CD0" w:rsidRPr="00A85984">
              <w:rPr>
                <w:b/>
                <w:bCs/>
                <w:sz w:val="28"/>
                <w:szCs w:val="28"/>
              </w:rPr>
              <w:t xml:space="preserve"> 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6-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بيان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توفر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الاعتماد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المالي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الحسابات</w:t>
            </w:r>
            <w:r w:rsidR="004D4CD0" w:rsidRPr="00A85984">
              <w:rPr>
                <w:b/>
                <w:bCs/>
                <w:sz w:val="28"/>
                <w:szCs w:val="28"/>
              </w:rPr>
              <w:t>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7-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تاهيل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المشاريع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المجمعات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المائية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الشبكات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ضمن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خطة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الميزانية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التشغيلية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\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خطة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تنمية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الاقاليم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\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الخطة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الاستثمارية</w:t>
            </w:r>
            <w:r w:rsidR="004D4CD0" w:rsidRPr="00A85984">
              <w:rPr>
                <w:b/>
                <w:bCs/>
                <w:sz w:val="28"/>
                <w:szCs w:val="28"/>
              </w:rPr>
              <w:t xml:space="preserve"> 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8-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الاعتماد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الامكانات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المتاحة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القيام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بالصيانة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الكادر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الفني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المشاريع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المجمعات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مركز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الصيانة</w:t>
            </w:r>
            <w:r w:rsidR="004D4CD0" w:rsidRPr="00A85984">
              <w:rPr>
                <w:b/>
                <w:bCs/>
                <w:sz w:val="28"/>
                <w:szCs w:val="28"/>
              </w:rPr>
              <w:t xml:space="preserve"> 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9-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تحديد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مقدار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النسبة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الخاصة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بردم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الفجوة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بعد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رفع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مستوى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الخدمة</w:t>
            </w:r>
            <w:r w:rsidR="004D4CD0" w:rsidRPr="00A85984">
              <w:rPr>
                <w:b/>
                <w:bCs/>
                <w:sz w:val="28"/>
                <w:szCs w:val="28"/>
              </w:rPr>
              <w:t>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10-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مقارنة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المعايير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القياسية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الخاصة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بخدمة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الماء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مع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مؤشرات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الخدمة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بعد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تنفيذ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الحلول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التخطيط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المتابعة</w:t>
            </w:r>
            <w:r w:rsidR="004D4CD0" w:rsidRPr="00A85984">
              <w:rPr>
                <w:b/>
                <w:bCs/>
                <w:sz w:val="28"/>
                <w:szCs w:val="28"/>
              </w:rPr>
              <w:t>.</w:t>
            </w:r>
          </w:p>
          <w:p w:rsidR="004D4CD0" w:rsidRPr="00A85984" w:rsidRDefault="00027AFB" w:rsidP="004D4CD0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11-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المحافظة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استمرار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مطابقة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المؤشر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للمعيار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القياسي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العمل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تطوير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المعايير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المتبعة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حاليا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بحيث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تنسجم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مع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المعيار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الدولي</w:t>
            </w:r>
            <w:r w:rsidR="004D4CD0" w:rsidRPr="00A85984">
              <w:rPr>
                <w:b/>
                <w:bCs/>
                <w:sz w:val="28"/>
                <w:szCs w:val="28"/>
              </w:rPr>
              <w:t>.</w:t>
            </w:r>
          </w:p>
          <w:p w:rsidR="00E97B4D" w:rsidRDefault="00027AFB" w:rsidP="004D4CD0">
            <w:pPr>
              <w:bidi/>
            </w:pPr>
            <w:r w:rsidRPr="00A85984">
              <w:rPr>
                <w:rFonts w:hint="cs"/>
                <w:b/>
                <w:bCs/>
                <w:sz w:val="28"/>
                <w:szCs w:val="28"/>
                <w:rtl/>
              </w:rPr>
              <w:t xml:space="preserve">12-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تحديث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المؤشرات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لخدمة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الماء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قبل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شعبة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الخطيط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و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="004D4CD0" w:rsidRPr="00A85984">
              <w:rPr>
                <w:rFonts w:cs="Arial" w:hint="cs"/>
                <w:b/>
                <w:bCs/>
                <w:sz w:val="28"/>
                <w:szCs w:val="28"/>
                <w:rtl/>
              </w:rPr>
              <w:t>المتابعة</w:t>
            </w:r>
            <w:r w:rsidR="004D4CD0" w:rsidRPr="00A85984">
              <w:rPr>
                <w:rFonts w:cs="Arial"/>
                <w:b/>
                <w:bCs/>
                <w:sz w:val="28"/>
                <w:szCs w:val="28"/>
                <w:rtl/>
              </w:rPr>
              <w:t>.</w:t>
            </w:r>
            <w:r w:rsidR="00650448">
              <w:rPr>
                <w:rFonts w:hint="cs"/>
                <w:rtl/>
              </w:rPr>
              <w:t xml:space="preserve"> </w:t>
            </w:r>
          </w:p>
        </w:tc>
        <w:tc>
          <w:tcPr>
            <w:tcW w:w="1170" w:type="dxa"/>
          </w:tcPr>
          <w:p w:rsidR="003E62E2" w:rsidRDefault="003E62E2" w:rsidP="003E62E2">
            <w:pPr>
              <w:pStyle w:val="ListParagraph"/>
            </w:pPr>
          </w:p>
        </w:tc>
      </w:tr>
    </w:tbl>
    <w:p w:rsidR="006A519D" w:rsidRPr="00A85EB6" w:rsidRDefault="00DF0EA5" w:rsidP="00A85EB6">
      <w:pPr>
        <w:keepNext/>
        <w:bidi/>
        <w:rPr>
          <w:rtl/>
        </w:rPr>
      </w:pPr>
      <w:r>
        <w:object w:dxaOrig="10771" w:dyaOrig="15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636.75pt" o:ole="">
            <v:imagedata r:id="rId9" o:title=""/>
          </v:shape>
          <o:OLEObject Type="Embed" ProgID="Visio.Drawing.15" ShapeID="_x0000_i1025" DrawAspect="Content" ObjectID="_1527166820" r:id="rId10"/>
        </w:objec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Pr="00050051" w:rsidRDefault="00050051" w:rsidP="007368E8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sectPr w:rsidR="006A519D" w:rsidRPr="00050051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FEE" w:rsidRDefault="005A0FEE" w:rsidP="00E97B4D">
      <w:pPr>
        <w:spacing w:after="0" w:line="240" w:lineRule="auto"/>
      </w:pPr>
      <w:r>
        <w:separator/>
      </w:r>
    </w:p>
  </w:endnote>
  <w:endnote w:type="continuationSeparator" w:id="0">
    <w:p w:rsidR="005A0FEE" w:rsidRDefault="005A0FE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E8" w:rsidRPr="007368E8" w:rsidRDefault="007368E8" w:rsidP="007368E8">
    <w:pPr>
      <w:pStyle w:val="Footer"/>
      <w:jc w:val="center"/>
      <w:rPr>
        <w:b/>
        <w:bCs/>
        <w:sz w:val="32"/>
        <w:szCs w:val="32"/>
      </w:rPr>
    </w:pPr>
    <w:r w:rsidRPr="007368E8">
      <w:rPr>
        <w:rFonts w:cs="Arial" w:hint="cs"/>
        <w:b/>
        <w:bCs/>
        <w:sz w:val="32"/>
        <w:szCs w:val="32"/>
        <w:rtl/>
      </w:rPr>
      <w:t>تعتبر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هذه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الاستمارة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جزء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اساسي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من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استمارة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النظام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المؤسسي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الخاص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بتلك</w:t>
    </w:r>
    <w:r w:rsidRPr="007368E8">
      <w:rPr>
        <w:rFonts w:cs="Arial"/>
        <w:b/>
        <w:bCs/>
        <w:sz w:val="32"/>
        <w:szCs w:val="32"/>
        <w:rtl/>
      </w:rPr>
      <w:t xml:space="preserve"> </w:t>
    </w:r>
    <w:r w:rsidRPr="007368E8">
      <w:rPr>
        <w:rFonts w:cs="Arial" w:hint="cs"/>
        <w:b/>
        <w:bCs/>
        <w:sz w:val="32"/>
        <w:szCs w:val="32"/>
        <w:rtl/>
      </w:rPr>
      <w:t>العملية</w:t>
    </w:r>
  </w:p>
  <w:p w:rsidR="007368E8" w:rsidRDefault="007368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FEE" w:rsidRDefault="005A0FEE" w:rsidP="00E97B4D">
      <w:pPr>
        <w:spacing w:after="0" w:line="240" w:lineRule="auto"/>
      </w:pPr>
      <w:r>
        <w:separator/>
      </w:r>
    </w:p>
  </w:footnote>
  <w:footnote w:type="continuationSeparator" w:id="0">
    <w:p w:rsidR="005A0FEE" w:rsidRDefault="005A0FE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227B3A" wp14:editId="25DE3F15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5A26C864" wp14:editId="1CE29446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B5F0324" wp14:editId="4708616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278CB642" wp14:editId="5C38CAA8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9C37038" wp14:editId="29B4B803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E3534"/>
    <w:multiLevelType w:val="hybridMultilevel"/>
    <w:tmpl w:val="A63A9CF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27AFB"/>
    <w:rsid w:val="00050051"/>
    <w:rsid w:val="001657B4"/>
    <w:rsid w:val="00263913"/>
    <w:rsid w:val="002E7255"/>
    <w:rsid w:val="0036438D"/>
    <w:rsid w:val="00386C68"/>
    <w:rsid w:val="003A3BDF"/>
    <w:rsid w:val="003E62E2"/>
    <w:rsid w:val="00402581"/>
    <w:rsid w:val="004969A5"/>
    <w:rsid w:val="004D4CD0"/>
    <w:rsid w:val="004F553F"/>
    <w:rsid w:val="004F56B6"/>
    <w:rsid w:val="005A0FEE"/>
    <w:rsid w:val="005A3621"/>
    <w:rsid w:val="00650448"/>
    <w:rsid w:val="00674F8A"/>
    <w:rsid w:val="006A519D"/>
    <w:rsid w:val="006E536C"/>
    <w:rsid w:val="007368E8"/>
    <w:rsid w:val="00750511"/>
    <w:rsid w:val="00804B2F"/>
    <w:rsid w:val="008554C8"/>
    <w:rsid w:val="008A1D67"/>
    <w:rsid w:val="008F7F96"/>
    <w:rsid w:val="00934DDE"/>
    <w:rsid w:val="00935DC7"/>
    <w:rsid w:val="00995570"/>
    <w:rsid w:val="00A32B00"/>
    <w:rsid w:val="00A85984"/>
    <w:rsid w:val="00A85EB6"/>
    <w:rsid w:val="00B04B24"/>
    <w:rsid w:val="00C665A0"/>
    <w:rsid w:val="00C73B30"/>
    <w:rsid w:val="00C74611"/>
    <w:rsid w:val="00C951F0"/>
    <w:rsid w:val="00CD6AF8"/>
    <w:rsid w:val="00D06F0E"/>
    <w:rsid w:val="00D8533F"/>
    <w:rsid w:val="00D85761"/>
    <w:rsid w:val="00DA18AF"/>
    <w:rsid w:val="00DF0EA5"/>
    <w:rsid w:val="00DF29B4"/>
    <w:rsid w:val="00E60AD9"/>
    <w:rsid w:val="00E97B4D"/>
    <w:rsid w:val="00F23DE7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F8A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8E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A3B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F8A"/>
    <w:pPr>
      <w:bidi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8E8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A3BD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4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3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2016-03-30T07:04:00Z</cp:lastPrinted>
  <dcterms:created xsi:type="dcterms:W3CDTF">2016-03-16T06:13:00Z</dcterms:created>
  <dcterms:modified xsi:type="dcterms:W3CDTF">2016-06-11T13:14:00Z</dcterms:modified>
</cp:coreProperties>
</file>